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0FD2DC">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附件2</w:t>
      </w:r>
    </w:p>
    <w:p w14:paraId="4C1ABC5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后勤保障部（</w:t>
      </w:r>
      <w:bookmarkStart w:id="1" w:name="_GoBack"/>
      <w:bookmarkEnd w:id="1"/>
      <w:r>
        <w:rPr>
          <w:rFonts w:hint="eastAsia" w:ascii="方正小标宋简体" w:hAnsi="方正小标宋简体" w:eastAsia="方正小标宋简体" w:cs="方正小标宋简体"/>
          <w:sz w:val="44"/>
          <w:szCs w:val="44"/>
        </w:rPr>
        <w:t>卫健办）设备</w:t>
      </w: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rPr>
        <w:t>家具报废工作细则</w:t>
      </w:r>
    </w:p>
    <w:p w14:paraId="55F5F82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b/>
          <w:sz w:val="28"/>
          <w:szCs w:val="28"/>
        </w:rPr>
      </w:pPr>
    </w:p>
    <w:p w14:paraId="567BD7E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sz w:val="28"/>
          <w:szCs w:val="28"/>
        </w:rPr>
        <w:t>　</w:t>
      </w:r>
      <w:r>
        <w:rPr>
          <w:rFonts w:hint="eastAsia"/>
          <w:sz w:val="32"/>
          <w:szCs w:val="32"/>
        </w:rPr>
        <w:t>　</w:t>
      </w:r>
      <w:r>
        <w:rPr>
          <w:rFonts w:hint="eastAsia" w:ascii="黑体" w:hAnsi="黑体" w:eastAsia="黑体" w:cs="黑体"/>
          <w:b w:val="0"/>
          <w:bCs/>
          <w:sz w:val="32"/>
          <w:szCs w:val="32"/>
        </w:rPr>
        <w:t>第一条</w:t>
      </w:r>
      <w:r>
        <w:rPr>
          <w:rFonts w:hint="eastAsia" w:ascii="仿宋" w:hAnsi="仿宋" w:eastAsia="仿宋" w:cs="仿宋"/>
          <w:b w:val="0"/>
          <w:bCs/>
          <w:sz w:val="32"/>
          <w:szCs w:val="32"/>
        </w:rPr>
        <w:t xml:space="preserve"> </w:t>
      </w:r>
      <w:r>
        <w:rPr>
          <w:rFonts w:hint="eastAsia" w:ascii="仿宋" w:hAnsi="仿宋" w:eastAsia="仿宋" w:cs="仿宋"/>
          <w:sz w:val="32"/>
          <w:szCs w:val="32"/>
        </w:rPr>
        <w:t>为加强设备、家具的管理，进一步规范设备、家具报废工作程序，根据《后勤保障部固定资产管理办法》《后勤保障部低值耐用品管理办法》《江苏省省级行政事业单位国有资产处置管理办法》（苏财</w:t>
      </w:r>
      <w:r>
        <w:rPr>
          <w:rFonts w:hint="eastAsia" w:ascii="仿宋" w:hAnsi="仿宋" w:eastAsia="仿宋" w:cs="仿宋"/>
          <w:sz w:val="32"/>
          <w:szCs w:val="32"/>
          <w:lang w:eastAsia="zh-CN"/>
        </w:rPr>
        <w:t>资〔2025〕</w:t>
      </w:r>
      <w:r>
        <w:rPr>
          <w:rFonts w:hint="default" w:ascii="Times New Roman" w:hAnsi="Times New Roman" w:eastAsia="仿宋" w:cs="Times New Roman"/>
          <w:sz w:val="32"/>
          <w:szCs w:val="32"/>
          <w:lang w:val="en-US" w:eastAsia="zh-CN"/>
        </w:rPr>
        <w:t>160</w:t>
      </w:r>
      <w:r>
        <w:rPr>
          <w:rFonts w:hint="eastAsia" w:ascii="仿宋" w:hAnsi="仿宋" w:eastAsia="仿宋" w:cs="仿宋"/>
          <w:sz w:val="32"/>
          <w:szCs w:val="32"/>
        </w:rPr>
        <w:t>号）等文件的有关规定，制定本细则。</w:t>
      </w:r>
    </w:p>
    <w:p w14:paraId="0FB7058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val="0"/>
          <w:bCs w:val="0"/>
          <w:sz w:val="32"/>
          <w:szCs w:val="32"/>
        </w:rPr>
        <w:t>　</w:t>
      </w:r>
      <w:r>
        <w:rPr>
          <w:rFonts w:hint="eastAsia" w:ascii="黑体" w:hAnsi="黑体" w:eastAsia="黑体" w:cs="黑体"/>
          <w:b w:val="0"/>
          <w:bCs/>
          <w:sz w:val="32"/>
          <w:szCs w:val="32"/>
        </w:rPr>
        <w:t>第二条</w:t>
      </w:r>
      <w:r>
        <w:rPr>
          <w:rFonts w:hint="eastAsia" w:ascii="仿宋" w:hAnsi="仿宋" w:eastAsia="仿宋" w:cs="仿宋"/>
          <w:sz w:val="32"/>
          <w:szCs w:val="32"/>
        </w:rPr>
        <w:t xml:space="preserve"> 本细则所称设备、家具报废，是指后勤保障部所属各科室、中心（以下简称：单位）占用、使用的资产属性为学校的仪器设备、家具的报废行为。</w:t>
      </w:r>
    </w:p>
    <w:p w14:paraId="4B223AA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val="0"/>
          <w:bCs w:val="0"/>
          <w:sz w:val="32"/>
          <w:szCs w:val="32"/>
        </w:rPr>
        <w:t>　</w:t>
      </w:r>
      <w:r>
        <w:rPr>
          <w:rFonts w:hint="eastAsia" w:ascii="黑体" w:hAnsi="黑体" w:eastAsia="黑体" w:cs="黑体"/>
          <w:b w:val="0"/>
          <w:bCs w:val="0"/>
          <w:sz w:val="32"/>
          <w:szCs w:val="32"/>
        </w:rPr>
        <w:t>第三条</w:t>
      </w:r>
      <w:r>
        <w:rPr>
          <w:rFonts w:hint="eastAsia" w:ascii="仿宋" w:hAnsi="仿宋" w:eastAsia="仿宋" w:cs="仿宋"/>
          <w:b w:val="0"/>
          <w:bCs w:val="0"/>
          <w:sz w:val="32"/>
          <w:szCs w:val="32"/>
        </w:rPr>
        <w:t xml:space="preserve"> </w:t>
      </w:r>
      <w:r>
        <w:rPr>
          <w:rFonts w:hint="eastAsia" w:ascii="仿宋" w:hAnsi="仿宋" w:eastAsia="仿宋" w:cs="仿宋"/>
          <w:sz w:val="32"/>
          <w:szCs w:val="32"/>
        </w:rPr>
        <w:t>固定资产处置原则：</w:t>
      </w:r>
    </w:p>
    <w:p w14:paraId="4134006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default" w:ascii="Times New Roman" w:hAnsi="Times New Roman" w:eastAsia="仿宋" w:cs="Times New Roman"/>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先审批、后报废处置；</w:t>
      </w:r>
    </w:p>
    <w:p w14:paraId="5BB0433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default" w:ascii="Times New Roman" w:hAnsi="Times New Roman" w:eastAsia="仿宋" w:cs="Times New Roman"/>
          <w:sz w:val="32"/>
          <w:szCs w:val="32"/>
        </w:rPr>
        <w:t xml:space="preserve"> 2</w:t>
      </w:r>
      <w:r>
        <w:rPr>
          <w:rFonts w:hint="eastAsia" w:ascii="仿宋" w:hAnsi="仿宋" w:eastAsia="仿宋" w:cs="仿宋"/>
          <w:sz w:val="32"/>
          <w:szCs w:val="32"/>
          <w:lang w:val="en-US" w:eastAsia="zh-CN"/>
        </w:rPr>
        <w:t>.</w:t>
      </w:r>
      <w:r>
        <w:rPr>
          <w:rFonts w:hint="eastAsia" w:ascii="仿宋" w:hAnsi="仿宋" w:eastAsia="仿宋" w:cs="仿宋"/>
          <w:sz w:val="32"/>
          <w:szCs w:val="32"/>
        </w:rPr>
        <w:t>科学合理、规范高效、公开透明；</w:t>
      </w:r>
    </w:p>
    <w:p w14:paraId="3B1DD36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default" w:ascii="Times New Roman" w:hAnsi="Times New Roman" w:eastAsia="仿宋" w:cs="Times New Roman"/>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报废处置与资产配置、回收利用相结合；</w:t>
      </w:r>
    </w:p>
    <w:p w14:paraId="6F138CE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default" w:ascii="Times New Roman" w:hAnsi="Times New Roman" w:eastAsia="仿宋" w:cs="Times New Roman"/>
          <w:sz w:val="32"/>
          <w:szCs w:val="32"/>
        </w:rPr>
        <w:t xml:space="preserve"> 4</w:t>
      </w:r>
      <w:r>
        <w:rPr>
          <w:rFonts w:hint="eastAsia" w:ascii="仿宋" w:hAnsi="仿宋" w:eastAsia="仿宋" w:cs="仿宋"/>
          <w:sz w:val="32"/>
          <w:szCs w:val="32"/>
          <w:lang w:val="en-US" w:eastAsia="zh-CN"/>
        </w:rPr>
        <w:t>.</w:t>
      </w:r>
      <w:r>
        <w:rPr>
          <w:rFonts w:hint="eastAsia" w:ascii="仿宋" w:hAnsi="仿宋" w:eastAsia="仿宋" w:cs="仿宋"/>
          <w:sz w:val="32"/>
          <w:szCs w:val="32"/>
        </w:rPr>
        <w:t>产权清晰；</w:t>
      </w:r>
    </w:p>
    <w:p w14:paraId="637A981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default" w:ascii="Times New Roman" w:hAnsi="Times New Roman" w:eastAsia="仿宋" w:cs="Times New Roman"/>
          <w:sz w:val="32"/>
          <w:szCs w:val="32"/>
        </w:rPr>
        <w:t xml:space="preserve"> 5</w:t>
      </w:r>
      <w:r>
        <w:rPr>
          <w:rFonts w:hint="eastAsia" w:ascii="仿宋" w:hAnsi="仿宋" w:eastAsia="仿宋" w:cs="仿宋"/>
          <w:sz w:val="32"/>
          <w:szCs w:val="32"/>
          <w:lang w:val="en-US" w:eastAsia="zh-CN"/>
        </w:rPr>
        <w:t>.</w:t>
      </w:r>
      <w:r>
        <w:rPr>
          <w:rFonts w:hint="eastAsia" w:ascii="仿宋" w:hAnsi="仿宋" w:eastAsia="仿宋" w:cs="仿宋"/>
          <w:sz w:val="32"/>
          <w:szCs w:val="32"/>
        </w:rPr>
        <w:t>公开、公平、公正和竞争、择优、及时处置废旧物。　　</w:t>
      </w:r>
    </w:p>
    <w:p w14:paraId="0D988B4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黑体" w:hAnsi="黑体" w:eastAsia="黑体" w:cs="黑体"/>
          <w:b w:val="0"/>
          <w:bCs/>
          <w:sz w:val="32"/>
          <w:szCs w:val="32"/>
        </w:rPr>
        <w:t>第四条</w:t>
      </w:r>
      <w:r>
        <w:rPr>
          <w:rFonts w:hint="eastAsia" w:ascii="仿宋" w:hAnsi="仿宋" w:eastAsia="仿宋" w:cs="仿宋"/>
          <w:sz w:val="32"/>
          <w:szCs w:val="32"/>
        </w:rPr>
        <w:t xml:space="preserve"> 设备、家具经过后勤保障部组织的报废工作技术鉴定小组鉴定，符合以下条件的可按报废处理：</w:t>
      </w:r>
    </w:p>
    <w:p w14:paraId="218790A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default" w:ascii="Times New Roman" w:hAnsi="Times New Roman" w:eastAsia="仿宋" w:cs="Times New Roman"/>
          <w:sz w:val="32"/>
          <w:szCs w:val="32"/>
        </w:rPr>
        <w:t>　1</w:t>
      </w:r>
      <w:r>
        <w:rPr>
          <w:rFonts w:hint="eastAsia" w:ascii="仿宋" w:hAnsi="仿宋" w:eastAsia="仿宋" w:cs="仿宋"/>
          <w:sz w:val="32"/>
          <w:szCs w:val="32"/>
          <w:lang w:val="en-US" w:eastAsia="zh-CN"/>
        </w:rPr>
        <w:t>.</w:t>
      </w:r>
      <w:r>
        <w:rPr>
          <w:rFonts w:hint="eastAsia" w:ascii="仿宋" w:hAnsi="仿宋" w:eastAsia="仿宋" w:cs="仿宋"/>
          <w:sz w:val="32"/>
          <w:szCs w:val="32"/>
        </w:rPr>
        <w:t>使用期已满且不能正常使用的；</w:t>
      </w:r>
    </w:p>
    <w:p w14:paraId="3800942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default" w:ascii="Times New Roman" w:hAnsi="Times New Roman" w:eastAsia="仿宋" w:cs="Times New Roman"/>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确因技术落后而无使用价值的或不符合国家标准，继续使用会产生危害的；</w:t>
      </w:r>
    </w:p>
    <w:p w14:paraId="4B2C70E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default" w:ascii="Times New Roman" w:hAnsi="Times New Roman" w:eastAsia="仿宋" w:cs="Times New Roman"/>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经技术鉴定，确属于质量低劣，技术指标达不到标准的；</w:t>
      </w:r>
    </w:p>
    <w:p w14:paraId="6F2929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default" w:ascii="Times New Roman" w:hAnsi="Times New Roman" w:eastAsia="仿宋" w:cs="Times New Roman"/>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因长期频繁使用，</w:t>
      </w:r>
      <w:r>
        <w:rPr>
          <w:rFonts w:hint="eastAsia" w:ascii="仿宋" w:hAnsi="仿宋" w:eastAsia="仿宋" w:cs="仿宋"/>
          <w:sz w:val="32"/>
          <w:szCs w:val="32"/>
          <w:lang w:eastAsia="zh-CN"/>
        </w:rPr>
        <w:t>产品性能</w:t>
      </w:r>
      <w:r>
        <w:rPr>
          <w:rFonts w:hint="eastAsia" w:ascii="仿宋" w:hAnsi="仿宋" w:eastAsia="仿宋" w:cs="仿宋"/>
          <w:sz w:val="32"/>
          <w:szCs w:val="32"/>
        </w:rPr>
        <w:t>下降，结果不可靠</w:t>
      </w:r>
      <w:r>
        <w:rPr>
          <w:rFonts w:hint="eastAsia" w:ascii="仿宋" w:hAnsi="仿宋" w:eastAsia="仿宋" w:cs="仿宋"/>
          <w:sz w:val="32"/>
          <w:szCs w:val="32"/>
          <w:lang w:eastAsia="zh-CN"/>
        </w:rPr>
        <w:t>的；</w:t>
      </w:r>
    </w:p>
    <w:p w14:paraId="5465E3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default" w:ascii="Times New Roman" w:hAnsi="Times New Roman" w:eastAsia="仿宋" w:cs="Times New Roman"/>
          <w:sz w:val="32"/>
          <w:szCs w:val="32"/>
        </w:rPr>
        <w:t>5</w:t>
      </w:r>
      <w:r>
        <w:rPr>
          <w:rFonts w:hint="eastAsia" w:ascii="仿宋" w:hAnsi="仿宋" w:eastAsia="仿宋" w:cs="仿宋"/>
          <w:sz w:val="32"/>
          <w:szCs w:val="32"/>
          <w:lang w:val="en-US" w:eastAsia="zh-CN"/>
        </w:rPr>
        <w:t>.</w:t>
      </w:r>
      <w:r>
        <w:rPr>
          <w:rFonts w:hint="eastAsia" w:ascii="仿宋" w:hAnsi="仿宋" w:eastAsia="仿宋" w:cs="仿宋"/>
          <w:sz w:val="32"/>
          <w:szCs w:val="32"/>
        </w:rPr>
        <w:t>因不可抗力造成损坏，不能修复或修复费用过高而无修复价值的</w:t>
      </w:r>
      <w:r>
        <w:rPr>
          <w:rFonts w:hint="eastAsia" w:ascii="仿宋" w:hAnsi="仿宋" w:eastAsia="仿宋" w:cs="仿宋"/>
          <w:sz w:val="32"/>
          <w:szCs w:val="32"/>
          <w:lang w:eastAsia="zh-CN"/>
        </w:rPr>
        <w:t>。</w:t>
      </w:r>
    </w:p>
    <w:p w14:paraId="4230013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黑体" w:hAnsi="黑体" w:eastAsia="黑体" w:cs="黑体"/>
          <w:b w:val="0"/>
          <w:bCs/>
          <w:sz w:val="32"/>
          <w:szCs w:val="32"/>
        </w:rPr>
        <w:t>第五条</w:t>
      </w:r>
      <w:r>
        <w:rPr>
          <w:rFonts w:hint="eastAsia" w:ascii="仿宋" w:hAnsi="仿宋" w:eastAsia="仿宋" w:cs="仿宋"/>
          <w:b w:val="0"/>
          <w:bCs/>
          <w:sz w:val="32"/>
          <w:szCs w:val="32"/>
        </w:rPr>
        <w:t xml:space="preserve"> </w:t>
      </w:r>
      <w:r>
        <w:rPr>
          <w:rFonts w:hint="eastAsia" w:ascii="仿宋" w:hAnsi="仿宋" w:eastAsia="仿宋" w:cs="仿宋"/>
          <w:sz w:val="32"/>
          <w:szCs w:val="32"/>
        </w:rPr>
        <w:t>后勤保障部成立报废工作技术鉴定小组，</w:t>
      </w:r>
      <w:r>
        <w:rPr>
          <w:rFonts w:hint="eastAsia" w:ascii="仿宋" w:hAnsi="仿宋" w:eastAsia="仿宋" w:cs="仿宋"/>
          <w:sz w:val="32"/>
          <w:szCs w:val="32"/>
          <w:lang w:eastAsia="zh-CN"/>
        </w:rPr>
        <w:t>鉴定类别</w:t>
      </w:r>
      <w:r>
        <w:rPr>
          <w:rFonts w:hint="eastAsia" w:ascii="仿宋" w:hAnsi="仿宋" w:eastAsia="仿宋" w:cs="仿宋"/>
          <w:sz w:val="32"/>
          <w:szCs w:val="32"/>
        </w:rPr>
        <w:t>如下：电器类</w:t>
      </w:r>
      <w:r>
        <w:rPr>
          <w:rFonts w:hint="eastAsia" w:ascii="仿宋" w:hAnsi="仿宋" w:eastAsia="仿宋" w:cs="仿宋"/>
          <w:sz w:val="32"/>
          <w:szCs w:val="32"/>
          <w:lang w:eastAsia="zh-CN"/>
        </w:rPr>
        <w:t>：</w:t>
      </w:r>
      <w:r>
        <w:rPr>
          <w:rFonts w:hint="eastAsia" w:ascii="仿宋" w:hAnsi="仿宋" w:eastAsia="仿宋" w:cs="仿宋"/>
          <w:sz w:val="32"/>
          <w:szCs w:val="32"/>
        </w:rPr>
        <w:t>空调、电脑、打印机等</w:t>
      </w:r>
      <w:r>
        <w:rPr>
          <w:rFonts w:hint="eastAsia" w:ascii="仿宋" w:hAnsi="仿宋" w:eastAsia="仿宋" w:cs="仿宋"/>
          <w:sz w:val="32"/>
          <w:szCs w:val="32"/>
          <w:lang w:eastAsia="zh-CN"/>
        </w:rPr>
        <w:t>；</w:t>
      </w:r>
      <w:r>
        <w:rPr>
          <w:rFonts w:hint="eastAsia" w:ascii="仿宋" w:hAnsi="仿宋" w:eastAsia="仿宋" w:cs="仿宋"/>
          <w:sz w:val="32"/>
          <w:szCs w:val="32"/>
        </w:rPr>
        <w:t>家具类</w:t>
      </w:r>
      <w:r>
        <w:rPr>
          <w:rFonts w:hint="eastAsia" w:ascii="仿宋" w:hAnsi="仿宋" w:eastAsia="仿宋" w:cs="仿宋"/>
          <w:sz w:val="32"/>
          <w:szCs w:val="32"/>
          <w:lang w:eastAsia="zh-CN"/>
        </w:rPr>
        <w:t>：</w:t>
      </w:r>
      <w:r>
        <w:rPr>
          <w:rFonts w:hint="eastAsia" w:ascii="仿宋" w:hAnsi="仿宋" w:eastAsia="仿宋" w:cs="仿宋"/>
          <w:sz w:val="32"/>
          <w:szCs w:val="32"/>
        </w:rPr>
        <w:t>课桌椅等</w:t>
      </w:r>
      <w:r>
        <w:rPr>
          <w:rFonts w:hint="eastAsia" w:ascii="仿宋" w:hAnsi="仿宋" w:eastAsia="仿宋" w:cs="仿宋"/>
          <w:sz w:val="32"/>
          <w:szCs w:val="32"/>
          <w:lang w:eastAsia="zh-CN"/>
        </w:rPr>
        <w:t>；</w:t>
      </w:r>
      <w:r>
        <w:rPr>
          <w:rFonts w:hint="eastAsia" w:ascii="仿宋" w:hAnsi="仿宋" w:eastAsia="仿宋" w:cs="仿宋"/>
          <w:sz w:val="32"/>
          <w:szCs w:val="32"/>
        </w:rPr>
        <w:t>餐饮类</w:t>
      </w:r>
      <w:r>
        <w:rPr>
          <w:rFonts w:hint="eastAsia" w:ascii="仿宋" w:hAnsi="仿宋" w:eastAsia="仿宋" w:cs="仿宋"/>
          <w:sz w:val="32"/>
          <w:szCs w:val="32"/>
          <w:lang w:eastAsia="zh-CN"/>
        </w:rPr>
        <w:t>：</w:t>
      </w:r>
      <w:r>
        <w:rPr>
          <w:rFonts w:hint="eastAsia" w:ascii="仿宋" w:hAnsi="仿宋" w:eastAsia="仿宋" w:cs="仿宋"/>
          <w:sz w:val="32"/>
          <w:szCs w:val="32"/>
        </w:rPr>
        <w:t>餐饮设备等。主要负责单台</w:t>
      </w:r>
      <w:r>
        <w:rPr>
          <w:rFonts w:hint="eastAsia" w:ascii="仿宋" w:hAnsi="仿宋" w:eastAsia="仿宋" w:cs="仿宋"/>
          <w:sz w:val="32"/>
          <w:szCs w:val="32"/>
          <w:lang w:eastAsia="zh-CN"/>
        </w:rPr>
        <w:t>（</w:t>
      </w:r>
      <w:r>
        <w:rPr>
          <w:rFonts w:hint="eastAsia" w:ascii="仿宋" w:hAnsi="仿宋" w:eastAsia="仿宋" w:cs="仿宋"/>
          <w:sz w:val="32"/>
          <w:szCs w:val="32"/>
        </w:rPr>
        <w:t>件</w:t>
      </w:r>
      <w:r>
        <w:rPr>
          <w:rFonts w:hint="eastAsia" w:ascii="仿宋" w:hAnsi="仿宋" w:eastAsia="仿宋" w:cs="仿宋"/>
          <w:sz w:val="32"/>
          <w:szCs w:val="32"/>
          <w:lang w:eastAsia="zh-CN"/>
        </w:rPr>
        <w:t>）</w:t>
      </w:r>
      <w:r>
        <w:rPr>
          <w:rFonts w:hint="eastAsia" w:ascii="仿宋" w:hAnsi="仿宋" w:eastAsia="仿宋" w:cs="仿宋"/>
          <w:sz w:val="32"/>
          <w:szCs w:val="32"/>
        </w:rPr>
        <w:t>总价不超过</w:t>
      </w:r>
      <w:r>
        <w:rPr>
          <w:rFonts w:hint="default" w:ascii="Times New Roman" w:hAnsi="Times New Roman" w:eastAsia="仿宋" w:cs="Times New Roman"/>
          <w:sz w:val="32"/>
          <w:szCs w:val="32"/>
        </w:rPr>
        <w:t>20</w:t>
      </w:r>
      <w:r>
        <w:rPr>
          <w:rFonts w:hint="eastAsia" w:ascii="仿宋" w:hAnsi="仿宋" w:eastAsia="仿宋" w:cs="仿宋"/>
          <w:sz w:val="32"/>
          <w:szCs w:val="32"/>
        </w:rPr>
        <w:t>万元的设备、家具报废鉴定。</w:t>
      </w:r>
    </w:p>
    <w:p w14:paraId="0C177189">
      <w:pPr>
        <w:keepNext w:val="0"/>
        <w:keepLines w:val="0"/>
        <w:pageBreakBefore w:val="0"/>
        <w:widowControl w:val="0"/>
        <w:kinsoku/>
        <w:wordWrap/>
        <w:overflowPunct/>
        <w:topLinePunct w:val="0"/>
        <w:autoSpaceDE/>
        <w:autoSpaceDN/>
        <w:bidi w:val="0"/>
        <w:adjustRightInd/>
        <w:snapToGrid/>
        <w:spacing w:line="560" w:lineRule="exact"/>
        <w:ind w:firstLine="555"/>
        <w:textAlignment w:val="auto"/>
        <w:rPr>
          <w:rFonts w:hint="eastAsia" w:ascii="仿宋" w:hAnsi="仿宋" w:eastAsia="仿宋" w:cs="仿宋"/>
          <w:sz w:val="32"/>
          <w:szCs w:val="32"/>
        </w:rPr>
      </w:pPr>
      <w:r>
        <w:rPr>
          <w:rFonts w:hint="eastAsia" w:ascii="黑体" w:hAnsi="黑体" w:eastAsia="黑体" w:cs="黑体"/>
          <w:b w:val="0"/>
          <w:bCs/>
          <w:sz w:val="32"/>
          <w:szCs w:val="32"/>
        </w:rPr>
        <w:t>第六条</w:t>
      </w:r>
      <w:r>
        <w:rPr>
          <w:rFonts w:hint="eastAsia" w:ascii="仿宋" w:hAnsi="仿宋" w:eastAsia="仿宋" w:cs="仿宋"/>
          <w:b w:val="0"/>
          <w:bCs/>
          <w:sz w:val="32"/>
          <w:szCs w:val="32"/>
        </w:rPr>
        <w:t xml:space="preserve"> </w:t>
      </w:r>
      <w:r>
        <w:rPr>
          <w:rFonts w:hint="eastAsia" w:ascii="仿宋" w:hAnsi="仿宋" w:eastAsia="仿宋" w:cs="仿宋"/>
          <w:sz w:val="32"/>
          <w:szCs w:val="32"/>
        </w:rPr>
        <w:t>单台</w:t>
      </w:r>
      <w:r>
        <w:rPr>
          <w:rFonts w:hint="eastAsia" w:ascii="仿宋" w:hAnsi="仿宋" w:eastAsia="仿宋" w:cs="仿宋"/>
          <w:sz w:val="32"/>
          <w:szCs w:val="32"/>
          <w:lang w:eastAsia="zh-CN"/>
        </w:rPr>
        <w:t>（</w:t>
      </w:r>
      <w:r>
        <w:rPr>
          <w:rFonts w:hint="eastAsia" w:ascii="仿宋" w:hAnsi="仿宋" w:eastAsia="仿宋" w:cs="仿宋"/>
          <w:sz w:val="32"/>
          <w:szCs w:val="32"/>
        </w:rPr>
        <w:t>件</w:t>
      </w:r>
      <w:r>
        <w:rPr>
          <w:rFonts w:hint="eastAsia" w:ascii="仿宋" w:hAnsi="仿宋" w:eastAsia="仿宋" w:cs="仿宋"/>
          <w:sz w:val="32"/>
          <w:szCs w:val="32"/>
          <w:lang w:eastAsia="zh-CN"/>
        </w:rPr>
        <w:t>）</w:t>
      </w:r>
      <w:r>
        <w:rPr>
          <w:rFonts w:hint="eastAsia" w:ascii="仿宋" w:hAnsi="仿宋" w:eastAsia="仿宋" w:cs="仿宋"/>
          <w:sz w:val="32"/>
          <w:szCs w:val="32"/>
        </w:rPr>
        <w:t>总价超过</w:t>
      </w:r>
      <w:r>
        <w:rPr>
          <w:rFonts w:hint="default" w:ascii="Times New Roman" w:hAnsi="Times New Roman" w:eastAsia="仿宋" w:cs="Times New Roman"/>
          <w:sz w:val="32"/>
          <w:szCs w:val="32"/>
        </w:rPr>
        <w:t>20</w:t>
      </w:r>
      <w:r>
        <w:rPr>
          <w:rFonts w:hint="eastAsia" w:ascii="仿宋" w:hAnsi="仿宋" w:eastAsia="仿宋" w:cs="仿宋"/>
          <w:sz w:val="32"/>
          <w:szCs w:val="32"/>
        </w:rPr>
        <w:t>万元的设备、家具报废工作由部领导班子组织相关技术人员鉴定。</w:t>
      </w:r>
    </w:p>
    <w:p w14:paraId="52CF3A2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val="0"/>
          <w:bCs w:val="0"/>
          <w:sz w:val="32"/>
          <w:szCs w:val="32"/>
        </w:rPr>
        <w:t>　</w:t>
      </w:r>
      <w:r>
        <w:rPr>
          <w:rFonts w:hint="eastAsia" w:ascii="黑体" w:hAnsi="黑体" w:eastAsia="黑体" w:cs="黑体"/>
          <w:b w:val="0"/>
          <w:bCs w:val="0"/>
          <w:sz w:val="32"/>
          <w:szCs w:val="32"/>
        </w:rPr>
        <w:t>第七条</w:t>
      </w:r>
      <w:r>
        <w:rPr>
          <w:rFonts w:hint="eastAsia" w:ascii="仿宋" w:hAnsi="仿宋" w:eastAsia="仿宋" w:cs="仿宋"/>
          <w:sz w:val="32"/>
          <w:szCs w:val="32"/>
        </w:rPr>
        <w:t xml:space="preserve"> 常用固定资产使用年限：</w:t>
      </w:r>
    </w:p>
    <w:p w14:paraId="07E039B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default" w:ascii="Times New Roman" w:hAnsi="Times New Roman" w:eastAsia="仿宋" w:cs="Times New Roman"/>
          <w:sz w:val="32"/>
          <w:szCs w:val="32"/>
        </w:rPr>
        <w:t>　1</w:t>
      </w:r>
      <w:r>
        <w:rPr>
          <w:rFonts w:hint="default" w:ascii="Times New Roman" w:hAnsi="Times New Roman" w:eastAsia="仿宋" w:cs="Times New Roman"/>
          <w:sz w:val="32"/>
          <w:szCs w:val="32"/>
          <w:lang w:val="en-US" w:eastAsia="zh-CN"/>
        </w:rPr>
        <w:t>.</w:t>
      </w:r>
      <w:r>
        <w:rPr>
          <w:rFonts w:hint="eastAsia" w:ascii="仿宋" w:hAnsi="仿宋" w:eastAsia="仿宋" w:cs="仿宋"/>
          <w:sz w:val="32"/>
          <w:szCs w:val="32"/>
        </w:rPr>
        <w:t>家具类：</w:t>
      </w:r>
      <w:r>
        <w:rPr>
          <w:rFonts w:hint="default" w:ascii="Times New Roman" w:hAnsi="Times New Roman" w:eastAsia="仿宋" w:cs="Times New Roman"/>
          <w:sz w:val="32"/>
          <w:szCs w:val="32"/>
        </w:rPr>
        <w:t>15</w:t>
      </w:r>
      <w:r>
        <w:rPr>
          <w:rFonts w:hint="eastAsia" w:ascii="仿宋" w:hAnsi="仿宋" w:eastAsia="仿宋" w:cs="仿宋"/>
          <w:sz w:val="32"/>
          <w:szCs w:val="32"/>
        </w:rPr>
        <w:t>年以上；</w:t>
      </w:r>
    </w:p>
    <w:p w14:paraId="3366AEC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default" w:ascii="Times New Roman" w:hAnsi="Times New Roman" w:eastAsia="仿宋" w:cs="Times New Roman"/>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教学、科研专用设备：</w:t>
      </w:r>
      <w:r>
        <w:rPr>
          <w:rFonts w:hint="default" w:ascii="Times New Roman" w:hAnsi="Times New Roman" w:eastAsia="仿宋" w:cs="Times New Roman"/>
          <w:sz w:val="32"/>
          <w:szCs w:val="32"/>
        </w:rPr>
        <w:t>5</w:t>
      </w:r>
      <w:r>
        <w:rPr>
          <w:rFonts w:hint="eastAsia" w:ascii="仿宋" w:hAnsi="仿宋" w:eastAsia="仿宋" w:cs="仿宋"/>
          <w:sz w:val="32"/>
          <w:szCs w:val="32"/>
        </w:rPr>
        <w:t>年以上；</w:t>
      </w:r>
    </w:p>
    <w:p w14:paraId="03BF56F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default" w:ascii="Times New Roman" w:hAnsi="Times New Roman" w:eastAsia="仿宋" w:cs="Times New Roman"/>
          <w:sz w:val="32"/>
          <w:szCs w:val="32"/>
        </w:rPr>
        <w:t>　3</w:t>
      </w:r>
      <w:r>
        <w:rPr>
          <w:rFonts w:hint="eastAsia" w:ascii="仿宋" w:hAnsi="仿宋" w:eastAsia="仿宋" w:cs="仿宋"/>
          <w:sz w:val="32"/>
          <w:szCs w:val="32"/>
          <w:lang w:val="en-US" w:eastAsia="zh-CN"/>
        </w:rPr>
        <w:t>.</w:t>
      </w:r>
      <w:r>
        <w:rPr>
          <w:rFonts w:hint="eastAsia" w:ascii="仿宋" w:hAnsi="仿宋" w:eastAsia="仿宋" w:cs="仿宋"/>
          <w:sz w:val="32"/>
          <w:szCs w:val="32"/>
        </w:rPr>
        <w:t>办公设备及其它设备：</w:t>
      </w:r>
      <w:r>
        <w:rPr>
          <w:rFonts w:hint="default" w:ascii="Times New Roman" w:hAnsi="Times New Roman" w:eastAsia="仿宋" w:cs="Times New Roman"/>
          <w:sz w:val="32"/>
          <w:szCs w:val="32"/>
        </w:rPr>
        <w:t>6</w:t>
      </w:r>
      <w:r>
        <w:rPr>
          <w:rFonts w:hint="eastAsia" w:ascii="仿宋" w:hAnsi="仿宋" w:eastAsia="仿宋" w:cs="仿宋"/>
          <w:sz w:val="32"/>
          <w:szCs w:val="32"/>
        </w:rPr>
        <w:t>年以上；</w:t>
      </w:r>
    </w:p>
    <w:p w14:paraId="0AF014D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凡未达到使用最低年限的固定资产的报废、报损，应从严控制。</w:t>
      </w:r>
    </w:p>
    <w:p w14:paraId="59A53E0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b w:val="0"/>
          <w:bCs w:val="0"/>
          <w:sz w:val="32"/>
          <w:szCs w:val="32"/>
        </w:rPr>
        <w:t>　</w:t>
      </w:r>
      <w:r>
        <w:rPr>
          <w:rFonts w:hint="eastAsia" w:ascii="黑体" w:hAnsi="黑体" w:eastAsia="黑体" w:cs="黑体"/>
          <w:b w:val="0"/>
          <w:bCs w:val="0"/>
          <w:sz w:val="32"/>
          <w:szCs w:val="32"/>
        </w:rPr>
        <w:t>　第八条</w:t>
      </w:r>
      <w:r>
        <w:rPr>
          <w:rFonts w:hint="eastAsia" w:ascii="仿宋" w:hAnsi="仿宋" w:eastAsia="仿宋" w:cs="仿宋"/>
          <w:sz w:val="32"/>
          <w:szCs w:val="32"/>
        </w:rPr>
        <w:t xml:space="preserve"> 已报废的固定资产（简称：废旧物）是国有资产的一部分，任何单位和个人均不得擅自处理。经批准报废的固定资产由实验室与设备管理处按有关规定统一组织回收，由国资处组织处理。</w:t>
      </w:r>
    </w:p>
    <w:p w14:paraId="370A1ED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val="0"/>
          <w:bCs w:val="0"/>
          <w:sz w:val="32"/>
          <w:szCs w:val="32"/>
        </w:rPr>
        <w:t>　</w:t>
      </w:r>
      <w:r>
        <w:rPr>
          <w:rFonts w:hint="eastAsia" w:ascii="黑体" w:hAnsi="黑体" w:eastAsia="黑体" w:cs="黑体"/>
          <w:b w:val="0"/>
          <w:bCs w:val="0"/>
          <w:sz w:val="32"/>
          <w:szCs w:val="32"/>
        </w:rPr>
        <w:t>第九条</w:t>
      </w:r>
      <w:r>
        <w:rPr>
          <w:rFonts w:hint="eastAsia" w:ascii="黑体" w:hAnsi="黑体" w:eastAsia="黑体" w:cs="黑体"/>
          <w:sz w:val="32"/>
          <w:szCs w:val="32"/>
        </w:rPr>
        <w:t xml:space="preserve"> </w:t>
      </w:r>
      <w:r>
        <w:rPr>
          <w:rFonts w:hint="eastAsia" w:ascii="仿宋" w:hAnsi="仿宋" w:eastAsia="仿宋" w:cs="仿宋"/>
          <w:sz w:val="32"/>
          <w:szCs w:val="32"/>
        </w:rPr>
        <w:t>对需要报废的</w:t>
      </w:r>
      <w:r>
        <w:rPr>
          <w:rFonts w:hint="eastAsia" w:ascii="仿宋" w:hAnsi="仿宋" w:eastAsia="仿宋" w:cs="仿宋"/>
          <w:sz w:val="32"/>
          <w:szCs w:val="32"/>
          <w:lang w:eastAsia="zh-CN"/>
        </w:rPr>
        <w:t>设施</w:t>
      </w:r>
      <w:r>
        <w:rPr>
          <w:rFonts w:hint="eastAsia" w:ascii="仿宋" w:hAnsi="仿宋" w:eastAsia="仿宋" w:cs="仿宋"/>
          <w:sz w:val="32"/>
          <w:szCs w:val="32"/>
        </w:rPr>
        <w:t>设备，在送交实验室与设备管理处之前，必须保证设备及配套部件的完整性。凡设备及配套部件不齐全者均不予办理正常途经的报废手续。如发现擅自拆卸部件的，需按照有关规定进行赔偿。</w:t>
      </w:r>
    </w:p>
    <w:p w14:paraId="5E64C2D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w:t>
      </w:r>
      <w:bookmarkStart w:id="0" w:name="OLE_LINK3"/>
      <w:r>
        <w:rPr>
          <w:rFonts w:hint="eastAsia" w:ascii="黑体" w:hAnsi="黑体" w:eastAsia="黑体" w:cs="黑体"/>
          <w:b w:val="0"/>
          <w:bCs/>
          <w:sz w:val="32"/>
          <w:szCs w:val="32"/>
        </w:rPr>
        <w:t>第十条</w:t>
      </w:r>
      <w:bookmarkEnd w:id="0"/>
      <w:r>
        <w:rPr>
          <w:rFonts w:hint="eastAsia" w:ascii="仿宋" w:hAnsi="仿宋" w:eastAsia="仿宋" w:cs="仿宋"/>
          <w:sz w:val="32"/>
          <w:szCs w:val="32"/>
        </w:rPr>
        <w:t xml:space="preserve"> 为保证设备的账、卡、物相符，原则上不办理整机报废留用。</w:t>
      </w:r>
    </w:p>
    <w:p w14:paraId="7E83900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黑体" w:hAnsi="黑体" w:eastAsia="黑体" w:cs="黑体"/>
          <w:sz w:val="32"/>
          <w:szCs w:val="32"/>
        </w:rPr>
        <w:t>　</w:t>
      </w:r>
      <w:r>
        <w:rPr>
          <w:rFonts w:hint="eastAsia" w:ascii="黑体" w:hAnsi="黑体" w:eastAsia="黑体" w:cs="黑体"/>
          <w:b w:val="0"/>
          <w:bCs/>
          <w:sz w:val="32"/>
          <w:szCs w:val="32"/>
        </w:rPr>
        <w:t>第十一条</w:t>
      </w:r>
      <w:r>
        <w:rPr>
          <w:rFonts w:hint="eastAsia" w:ascii="仿宋" w:hAnsi="仿宋" w:eastAsia="仿宋" w:cs="仿宋"/>
          <w:b/>
          <w:sz w:val="32"/>
          <w:szCs w:val="32"/>
        </w:rPr>
        <w:t xml:space="preserve"> </w:t>
      </w:r>
      <w:r>
        <w:rPr>
          <w:rFonts w:hint="eastAsia" w:ascii="仿宋" w:hAnsi="仿宋" w:eastAsia="仿宋" w:cs="仿宋"/>
          <w:sz w:val="32"/>
          <w:szCs w:val="32"/>
        </w:rPr>
        <w:t>有账无物的设备、家具不得走报废工作程序。</w:t>
      </w:r>
    </w:p>
    <w:p w14:paraId="24FE7A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lang w:val="en-US" w:eastAsia="zh-CN"/>
        </w:rPr>
      </w:pPr>
      <w:r>
        <w:rPr>
          <w:rFonts w:hint="eastAsia" w:ascii="黑体" w:hAnsi="黑体" w:eastAsia="黑体" w:cs="黑体"/>
          <w:b w:val="0"/>
          <w:bCs/>
          <w:sz w:val="32"/>
          <w:szCs w:val="32"/>
        </w:rPr>
        <w:t>第十二条</w:t>
      </w:r>
      <w:r>
        <w:rPr>
          <w:rFonts w:hint="eastAsia" w:ascii="黑体" w:hAnsi="黑体" w:eastAsia="黑体" w:cs="黑体"/>
          <w:b w:val="0"/>
          <w:bCs/>
          <w:sz w:val="32"/>
          <w:szCs w:val="32"/>
          <w:lang w:val="en-US" w:eastAsia="zh-CN"/>
        </w:rPr>
        <w:t xml:space="preserve"> </w:t>
      </w:r>
      <w:r>
        <w:rPr>
          <w:rFonts w:hint="eastAsia" w:ascii="仿宋" w:hAnsi="仿宋" w:eastAsia="仿宋" w:cs="仿宋"/>
          <w:sz w:val="32"/>
          <w:szCs w:val="32"/>
        </w:rPr>
        <w:t>本细则自发布之日起实施</w:t>
      </w:r>
      <w:r>
        <w:rPr>
          <w:rFonts w:hint="eastAsia" w:ascii="仿宋" w:hAnsi="仿宋" w:eastAsia="仿宋" w:cs="仿宋"/>
          <w:sz w:val="32"/>
          <w:szCs w:val="32"/>
          <w:lang w:eastAsia="zh-CN"/>
        </w:rPr>
        <w:t>，</w:t>
      </w:r>
      <w:r>
        <w:rPr>
          <w:rFonts w:hint="eastAsia" w:ascii="仿宋" w:hAnsi="仿宋" w:eastAsia="仿宋" w:cs="仿宋"/>
          <w:sz w:val="32"/>
          <w:szCs w:val="32"/>
        </w:rPr>
        <w:t>由后勤保障部</w:t>
      </w:r>
      <w:r>
        <w:rPr>
          <w:rFonts w:hint="eastAsia" w:ascii="仿宋" w:hAnsi="仿宋" w:eastAsia="仿宋" w:cs="仿宋"/>
          <w:sz w:val="32"/>
          <w:szCs w:val="32"/>
          <w:lang w:eastAsia="zh-CN"/>
        </w:rPr>
        <w:t>固定资产主管部门负责</w:t>
      </w:r>
      <w:r>
        <w:rPr>
          <w:rFonts w:hint="eastAsia" w:ascii="仿宋" w:hAnsi="仿宋" w:eastAsia="仿宋" w:cs="仿宋"/>
          <w:sz w:val="32"/>
          <w:szCs w:val="32"/>
        </w:rPr>
        <w:t>解释</w:t>
      </w:r>
      <w:r>
        <w:rPr>
          <w:rFonts w:hint="eastAsia" w:ascii="仿宋" w:hAnsi="仿宋" w:eastAsia="仿宋" w:cs="仿宋"/>
          <w:sz w:val="32"/>
          <w:szCs w:val="32"/>
          <w:lang w:eastAsia="zh-CN"/>
        </w:rPr>
        <w:t>。</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9B8"/>
    <w:rsid w:val="000C09A2"/>
    <w:rsid w:val="002A4228"/>
    <w:rsid w:val="004E2AAD"/>
    <w:rsid w:val="00530D53"/>
    <w:rsid w:val="006A09B8"/>
    <w:rsid w:val="006E51C3"/>
    <w:rsid w:val="0073164B"/>
    <w:rsid w:val="00847367"/>
    <w:rsid w:val="009C754D"/>
    <w:rsid w:val="00C30ACB"/>
    <w:rsid w:val="00C32EF1"/>
    <w:rsid w:val="00E1373D"/>
    <w:rsid w:val="00E76808"/>
    <w:rsid w:val="00F36C27"/>
    <w:rsid w:val="03B34FA0"/>
    <w:rsid w:val="04937E91"/>
    <w:rsid w:val="04F049A8"/>
    <w:rsid w:val="051416E4"/>
    <w:rsid w:val="062E56B4"/>
    <w:rsid w:val="074A1304"/>
    <w:rsid w:val="07C50A88"/>
    <w:rsid w:val="08CF5F0C"/>
    <w:rsid w:val="08F35E3C"/>
    <w:rsid w:val="09157676"/>
    <w:rsid w:val="092D74AE"/>
    <w:rsid w:val="09733313"/>
    <w:rsid w:val="0BAD6035"/>
    <w:rsid w:val="0BBA0BCE"/>
    <w:rsid w:val="0D6E3E72"/>
    <w:rsid w:val="0D71653F"/>
    <w:rsid w:val="0DB6770F"/>
    <w:rsid w:val="0DBC2EB1"/>
    <w:rsid w:val="0E737AC2"/>
    <w:rsid w:val="0F671654"/>
    <w:rsid w:val="1087172B"/>
    <w:rsid w:val="11235A6C"/>
    <w:rsid w:val="11597885"/>
    <w:rsid w:val="119463E5"/>
    <w:rsid w:val="11F12EFC"/>
    <w:rsid w:val="12263756"/>
    <w:rsid w:val="12864A74"/>
    <w:rsid w:val="12EC7C9C"/>
    <w:rsid w:val="16A641B4"/>
    <w:rsid w:val="16F342B3"/>
    <w:rsid w:val="175120CE"/>
    <w:rsid w:val="17C4240D"/>
    <w:rsid w:val="18553EFB"/>
    <w:rsid w:val="189B1194"/>
    <w:rsid w:val="196827F5"/>
    <w:rsid w:val="1B427DC5"/>
    <w:rsid w:val="1D954D97"/>
    <w:rsid w:val="1E2F7D7F"/>
    <w:rsid w:val="1E346F5A"/>
    <w:rsid w:val="1EA529D6"/>
    <w:rsid w:val="1FA52578"/>
    <w:rsid w:val="1FAC6989"/>
    <w:rsid w:val="20791657"/>
    <w:rsid w:val="20FE602D"/>
    <w:rsid w:val="214B19AF"/>
    <w:rsid w:val="214E1B47"/>
    <w:rsid w:val="216E53E7"/>
    <w:rsid w:val="2286081A"/>
    <w:rsid w:val="22B01277"/>
    <w:rsid w:val="23133519"/>
    <w:rsid w:val="234C44CD"/>
    <w:rsid w:val="23512FFE"/>
    <w:rsid w:val="23FC3497"/>
    <w:rsid w:val="247E0E3D"/>
    <w:rsid w:val="24CE4D1C"/>
    <w:rsid w:val="24E02810"/>
    <w:rsid w:val="257B138A"/>
    <w:rsid w:val="26571ECC"/>
    <w:rsid w:val="26D719F3"/>
    <w:rsid w:val="26D903CC"/>
    <w:rsid w:val="26D93ABA"/>
    <w:rsid w:val="27BA22F3"/>
    <w:rsid w:val="27E11AF8"/>
    <w:rsid w:val="28107B4C"/>
    <w:rsid w:val="28400C18"/>
    <w:rsid w:val="28701767"/>
    <w:rsid w:val="2874016E"/>
    <w:rsid w:val="28FD484F"/>
    <w:rsid w:val="29F7023E"/>
    <w:rsid w:val="2B424A89"/>
    <w:rsid w:val="2BA647AD"/>
    <w:rsid w:val="2BE07E0A"/>
    <w:rsid w:val="2BFE268A"/>
    <w:rsid w:val="2D2B45A9"/>
    <w:rsid w:val="2D8E6EE6"/>
    <w:rsid w:val="2E41734A"/>
    <w:rsid w:val="2ECF4C5A"/>
    <w:rsid w:val="2EE259BB"/>
    <w:rsid w:val="301574EF"/>
    <w:rsid w:val="30D15BEA"/>
    <w:rsid w:val="31090540"/>
    <w:rsid w:val="312D20D9"/>
    <w:rsid w:val="318F47DD"/>
    <w:rsid w:val="328827F7"/>
    <w:rsid w:val="332B37FF"/>
    <w:rsid w:val="33E47230"/>
    <w:rsid w:val="342F3E2C"/>
    <w:rsid w:val="34D4647E"/>
    <w:rsid w:val="35311CD8"/>
    <w:rsid w:val="36127595"/>
    <w:rsid w:val="36184F4A"/>
    <w:rsid w:val="362167DA"/>
    <w:rsid w:val="36501D96"/>
    <w:rsid w:val="37F553AE"/>
    <w:rsid w:val="384F6DEF"/>
    <w:rsid w:val="38A51D7C"/>
    <w:rsid w:val="38E4205E"/>
    <w:rsid w:val="39BF0FEC"/>
    <w:rsid w:val="3A8913AD"/>
    <w:rsid w:val="3B425EC8"/>
    <w:rsid w:val="3BA15E2F"/>
    <w:rsid w:val="3CD324AB"/>
    <w:rsid w:val="3D196A0B"/>
    <w:rsid w:val="3E605DE6"/>
    <w:rsid w:val="3F2C4235"/>
    <w:rsid w:val="3F7D74B7"/>
    <w:rsid w:val="41AC554D"/>
    <w:rsid w:val="41ED20A3"/>
    <w:rsid w:val="422A23F6"/>
    <w:rsid w:val="430147FA"/>
    <w:rsid w:val="4459701A"/>
    <w:rsid w:val="45225AF9"/>
    <w:rsid w:val="4568768B"/>
    <w:rsid w:val="459E47A7"/>
    <w:rsid w:val="46144188"/>
    <w:rsid w:val="464B6860"/>
    <w:rsid w:val="465813F9"/>
    <w:rsid w:val="46626110"/>
    <w:rsid w:val="46945D8C"/>
    <w:rsid w:val="478E1476"/>
    <w:rsid w:val="47D32E64"/>
    <w:rsid w:val="47F6211F"/>
    <w:rsid w:val="485D2DC8"/>
    <w:rsid w:val="48B14A50"/>
    <w:rsid w:val="4B1531E9"/>
    <w:rsid w:val="4C4039A8"/>
    <w:rsid w:val="4C56394D"/>
    <w:rsid w:val="4CCD4891"/>
    <w:rsid w:val="4DEA5F62"/>
    <w:rsid w:val="4F035942"/>
    <w:rsid w:val="4F836083"/>
    <w:rsid w:val="4F8F7917"/>
    <w:rsid w:val="50821916"/>
    <w:rsid w:val="52A1019F"/>
    <w:rsid w:val="53235275"/>
    <w:rsid w:val="53570BC7"/>
    <w:rsid w:val="53F058C2"/>
    <w:rsid w:val="53F71F19"/>
    <w:rsid w:val="555A0FCC"/>
    <w:rsid w:val="558F1AEB"/>
    <w:rsid w:val="55E737FF"/>
    <w:rsid w:val="584D19EF"/>
    <w:rsid w:val="58CD4832"/>
    <w:rsid w:val="58E7636A"/>
    <w:rsid w:val="59957788"/>
    <w:rsid w:val="5B100C74"/>
    <w:rsid w:val="5B836FB3"/>
    <w:rsid w:val="5BDB7642"/>
    <w:rsid w:val="5CB06720"/>
    <w:rsid w:val="5DD21CFB"/>
    <w:rsid w:val="5FCF62BD"/>
    <w:rsid w:val="61BE356A"/>
    <w:rsid w:val="64557D2B"/>
    <w:rsid w:val="64E04B77"/>
    <w:rsid w:val="65783306"/>
    <w:rsid w:val="65D95929"/>
    <w:rsid w:val="66F33E59"/>
    <w:rsid w:val="66F525EC"/>
    <w:rsid w:val="679B09B6"/>
    <w:rsid w:val="6875280B"/>
    <w:rsid w:val="690538EB"/>
    <w:rsid w:val="695940E7"/>
    <w:rsid w:val="696C5805"/>
    <w:rsid w:val="69794B1B"/>
    <w:rsid w:val="6ACF764A"/>
    <w:rsid w:val="6B47600F"/>
    <w:rsid w:val="6C8A32B3"/>
    <w:rsid w:val="6CFC21DE"/>
    <w:rsid w:val="6D503E66"/>
    <w:rsid w:val="6D740BA3"/>
    <w:rsid w:val="6EA25D92"/>
    <w:rsid w:val="6EF23592"/>
    <w:rsid w:val="6FF2745B"/>
    <w:rsid w:val="701E05FF"/>
    <w:rsid w:val="704B4AC8"/>
    <w:rsid w:val="7184086A"/>
    <w:rsid w:val="71A90288"/>
    <w:rsid w:val="72361171"/>
    <w:rsid w:val="72A439A3"/>
    <w:rsid w:val="74252B9A"/>
    <w:rsid w:val="74806607"/>
    <w:rsid w:val="758E58D4"/>
    <w:rsid w:val="759B28C1"/>
    <w:rsid w:val="782643AF"/>
    <w:rsid w:val="7C0E6296"/>
    <w:rsid w:val="7C417667"/>
    <w:rsid w:val="7CAE5A9D"/>
    <w:rsid w:val="7CDF0B46"/>
    <w:rsid w:val="7D006E99"/>
    <w:rsid w:val="7D5207A9"/>
    <w:rsid w:val="7D55752F"/>
    <w:rsid w:val="7D624A70"/>
    <w:rsid w:val="7DD13104"/>
    <w:rsid w:val="7E0C7D38"/>
    <w:rsid w:val="7E0D5D12"/>
    <w:rsid w:val="7E36681D"/>
    <w:rsid w:val="7EAB205F"/>
    <w:rsid w:val="7EFA5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elations xmlns="http://www.yonyou.com/relation"/>
</file>

<file path=customXml/item2.xml><?xml version="1.0" encoding="utf-8"?>
<dataSourceCollection xmlns="http://www.yonyou.com/datasource"/>
</file>

<file path=customXml/itemProps1.xml><?xml version="1.0" encoding="utf-8"?>
<ds:datastoreItem xmlns:ds="http://schemas.openxmlformats.org/officeDocument/2006/customXml" ds:itemID="{ede9c761-a6c6-4dc6-a713-0061771b8faa}">
  <ds:schemaRefs/>
</ds:datastoreItem>
</file>

<file path=customXml/itemProps2.xml><?xml version="1.0" encoding="utf-8"?>
<ds:datastoreItem xmlns:ds="http://schemas.openxmlformats.org/officeDocument/2006/customXml" ds:itemID="{6324c451-abc5-472d-bb33-cf92beef0687}">
  <ds:schemaRefs/>
</ds:datastoreItem>
</file>

<file path=docProps/app.xml><?xml version="1.0" encoding="utf-8"?>
<Properties xmlns="http://schemas.openxmlformats.org/officeDocument/2006/extended-properties" xmlns:vt="http://schemas.openxmlformats.org/officeDocument/2006/docPropsVTypes">
  <Template>Normal</Template>
  <Pages>3</Pages>
  <Words>950</Words>
  <Characters>974</Characters>
  <Lines>8</Lines>
  <Paragraphs>2</Paragraphs>
  <TotalTime>3</TotalTime>
  <ScaleCrop>false</ScaleCrop>
  <LinksUpToDate>false</LinksUpToDate>
  <CharactersWithSpaces>1054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2025-12-09T08:20:00Z</dcterms:created>
  <dc:creator>admin</dc:creator>
  <cp:lastModifiedBy>三三</cp:lastModifiedBy>
  <dcterms:modified xsi:type="dcterms:W3CDTF">2026-01-20T06:53:05Z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9A79B4586C01457DAE1D77834D01152E</vt:lpwstr>
  </property>
  <property fmtid="{D5CDD505-2E9C-101B-9397-08002B2CF9AE}" pid="4" name="KSOTemplateDocerSaveRecord">
    <vt:lpwstr>eyJoZGlkIjoiM2U2NmU5NTRiOTY0ZTgxNzYxYjgxYmY1ZjY4Y2YxYjciLCJ1c2VySWQiOiIxMzU0MDY3Nzk2In0=</vt:lpwstr>
  </property>
</Properties>
</file>